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8D" w:rsidRPr="000017AD" w:rsidRDefault="0058468D" w:rsidP="0058468D">
      <w:pPr>
        <w:pStyle w:val="Heading2"/>
        <w:ind w:left="851"/>
        <w:rPr>
          <w:rFonts w:ascii="Times New Roman" w:hAnsi="Times New Roman" w:cs="Times New Roman"/>
        </w:rPr>
      </w:pPr>
      <w:r w:rsidRPr="000017AD">
        <w:rPr>
          <w:rFonts w:ascii="Times New Roman" w:hAnsi="Times New Roman" w:cs="Times New Roman"/>
        </w:rPr>
        <w:t>Fylling</w:t>
      </w:r>
      <w:r w:rsidR="00D27923">
        <w:rPr>
          <w:rFonts w:ascii="Times New Roman" w:hAnsi="Times New Roman" w:cs="Times New Roman"/>
        </w:rPr>
        <w:t xml:space="preserve"> -l</w:t>
      </w:r>
      <w:bookmarkStart w:id="0" w:name="_GoBack"/>
      <w:bookmarkEnd w:id="0"/>
      <w:r w:rsidR="004B44EE">
        <w:rPr>
          <w:rFonts w:ascii="Times New Roman" w:hAnsi="Times New Roman" w:cs="Times New Roman"/>
        </w:rPr>
        <w:t>eiðbeining</w:t>
      </w:r>
    </w:p>
    <w:p w:rsidR="0058468D" w:rsidRPr="000017AD" w:rsidRDefault="0058468D" w:rsidP="0058468D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a)</w:t>
      </w:r>
      <w:r w:rsidRPr="000017AD">
        <w:rPr>
          <w:sz w:val="24"/>
          <w:szCs w:val="24"/>
        </w:rPr>
        <w:tab/>
      </w:r>
    </w:p>
    <w:p w:rsidR="0058468D" w:rsidRPr="000017AD" w:rsidRDefault="0058468D" w:rsidP="004B44EE">
      <w:pPr>
        <w:pStyle w:val="NoSpacing"/>
        <w:rPr>
          <w:i/>
        </w:rPr>
      </w:pPr>
      <w:r w:rsidRPr="00584252">
        <w:rPr>
          <w:b/>
          <w:u w:val="single"/>
        </w:rPr>
        <w:t>Nánari lýsing verksviðsins</w:t>
      </w:r>
      <w:r w:rsidRPr="000017AD">
        <w:t xml:space="preserve"> gæti verið hvar skuli taka efni í fyllingar og leggja í veginn, t.d. milli hvað stöðva o.s.frv., sem kæmi þá í textan undir nánari lýsing.</w:t>
      </w:r>
    </w:p>
    <w:p w:rsidR="0058468D" w:rsidRPr="000017AD" w:rsidRDefault="0058468D" w:rsidP="0058468D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c)</w:t>
      </w:r>
      <w:r w:rsidRPr="000017AD">
        <w:rPr>
          <w:sz w:val="24"/>
          <w:szCs w:val="24"/>
        </w:rPr>
        <w:tab/>
      </w:r>
    </w:p>
    <w:p w:rsidR="0058468D" w:rsidRPr="000017AD" w:rsidRDefault="0058468D" w:rsidP="004B44EE">
      <w:pPr>
        <w:pStyle w:val="NoSpacing"/>
        <w:rPr>
          <w:noProof/>
        </w:rPr>
      </w:pPr>
      <w:r w:rsidRPr="000017AD">
        <w:rPr>
          <w:noProof/>
        </w:rPr>
        <w:t>Ef ekki er hægt að nota efni eða það er ónotæft er hér hægt að gera gerin fyrir því hvað skuli gera við það, t.d. aka sþví á tiltekinn losunarstað.</w:t>
      </w:r>
    </w:p>
    <w:p w:rsidR="0058468D" w:rsidRDefault="0058468D" w:rsidP="0058468D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d)</w:t>
      </w:r>
      <w:r w:rsidRPr="000017AD">
        <w:rPr>
          <w:sz w:val="24"/>
          <w:szCs w:val="24"/>
        </w:rPr>
        <w:tab/>
      </w:r>
    </w:p>
    <w:p w:rsidR="008260BE" w:rsidRPr="008260BE" w:rsidRDefault="008260BE" w:rsidP="004B44EE">
      <w:pPr>
        <w:pStyle w:val="NoSpacing"/>
      </w:pPr>
      <w:r w:rsidRPr="008260BE">
        <w:rPr>
          <w:b/>
          <w:u w:val="single"/>
        </w:rPr>
        <w:t>Þjöppun</w:t>
      </w:r>
      <w:r w:rsidRPr="008260BE">
        <w:rPr>
          <w:b/>
          <w:noProof/>
          <w:u w:val="single"/>
        </w:rPr>
        <w:t xml:space="preserve">. </w:t>
      </w:r>
      <w:r w:rsidRPr="008260BE">
        <w:rPr>
          <w:noProof/>
        </w:rPr>
        <w:t>Ef velja á tiltekna aðferð til að sýna fram á þjöppun er t</w:t>
      </w:r>
      <w:r>
        <w:rPr>
          <w:noProof/>
        </w:rPr>
        <w:t>.</w:t>
      </w:r>
      <w:r w:rsidRPr="008260BE">
        <w:rPr>
          <w:noProof/>
        </w:rPr>
        <w:t>d hægt að gera það hér með vísan í númer p</w:t>
      </w:r>
      <w:r w:rsidRPr="008260BE">
        <w:t>rófunaraðferða í d lið í almennu lýsingunni. Velja skal:</w:t>
      </w:r>
    </w:p>
    <w:p w:rsidR="008260BE" w:rsidRPr="008260BE" w:rsidRDefault="008260BE" w:rsidP="004B44EE">
      <w:pPr>
        <w:pStyle w:val="NoSpacing"/>
      </w:pPr>
      <w:r w:rsidRPr="008260BE">
        <w:rPr>
          <w:color w:val="5B9BD5" w:themeColor="accent1"/>
        </w:rPr>
        <w:t xml:space="preserve">1 </w:t>
      </w:r>
      <w:r w:rsidRPr="008260BE">
        <w:t>fyrir plötupróf,</w:t>
      </w:r>
    </w:p>
    <w:p w:rsidR="008260BE" w:rsidRPr="008260BE" w:rsidRDefault="008260BE" w:rsidP="004B44EE">
      <w:pPr>
        <w:pStyle w:val="NoSpacing"/>
      </w:pPr>
      <w:r w:rsidRPr="008260BE">
        <w:rPr>
          <w:color w:val="5B9BD5" w:themeColor="accent1"/>
        </w:rPr>
        <w:t>2a)</w:t>
      </w:r>
      <w:r w:rsidRPr="008260BE">
        <w:t xml:space="preserve"> með talningu yfirferða með tilraunaþjöppun, </w:t>
      </w:r>
    </w:p>
    <w:p w:rsidR="008260BE" w:rsidRPr="008260BE" w:rsidRDefault="008260BE" w:rsidP="004B44EE">
      <w:pPr>
        <w:pStyle w:val="NoSpacing"/>
      </w:pPr>
      <w:r w:rsidRPr="008260BE">
        <w:rPr>
          <w:color w:val="5B9BD5" w:themeColor="accent1"/>
        </w:rPr>
        <w:t>2b)</w:t>
      </w:r>
      <w:r w:rsidRPr="008260BE">
        <w:t xml:space="preserve"> með talningu yfirferða og þjöppunartilhögun</w:t>
      </w:r>
      <w:r>
        <w:t>, sbr. t</w:t>
      </w:r>
      <w:r w:rsidRPr="008260BE">
        <w:t>öflu</w:t>
      </w:r>
      <w:r>
        <w:t xml:space="preserve"> 3.6 </w:t>
      </w:r>
      <w:r w:rsidRPr="008260BE">
        <w:rPr>
          <w:noProof/>
        </w:rPr>
        <w:t>í efnisgæðariti Vg.</w:t>
      </w:r>
      <w:r>
        <w:t xml:space="preserve"> </w:t>
      </w:r>
      <w:r w:rsidRPr="008260BE">
        <w:t xml:space="preserve"> </w:t>
      </w:r>
    </w:p>
    <w:p w:rsidR="008260BE" w:rsidRDefault="008260BE" w:rsidP="004B44EE">
      <w:pPr>
        <w:pStyle w:val="NoSpacing"/>
      </w:pPr>
      <w:r w:rsidRPr="008260BE">
        <w:rPr>
          <w:color w:val="5B9BD5" w:themeColor="accent1"/>
        </w:rPr>
        <w:t>3</w:t>
      </w:r>
      <w:r w:rsidRPr="008260BE">
        <w:t xml:space="preserve"> með kvörðuðum mæligildum úr þjöppumæli.</w:t>
      </w:r>
    </w:p>
    <w:p w:rsidR="0058468D" w:rsidRPr="000017AD" w:rsidRDefault="008260BE" w:rsidP="004B44EE">
      <w:pPr>
        <w:pStyle w:val="NoSpacing"/>
        <w:rPr>
          <w:noProof/>
        </w:rPr>
      </w:pPr>
      <w:r w:rsidRPr="008260BE">
        <w:rPr>
          <w:b/>
          <w:noProof/>
          <w:u w:val="single"/>
        </w:rPr>
        <w:t>Tíðni plötuprófa</w:t>
      </w:r>
      <w:r>
        <w:rPr>
          <w:b/>
          <w:noProof/>
          <w:u w:val="single"/>
        </w:rPr>
        <w:t>;</w:t>
      </w:r>
      <w:r w:rsidRPr="000017AD">
        <w:rPr>
          <w:noProof/>
        </w:rPr>
        <w:t xml:space="preserve"> </w:t>
      </w:r>
      <w:r w:rsidR="0058468D" w:rsidRPr="000017AD">
        <w:rPr>
          <w:noProof/>
        </w:rPr>
        <w:t xml:space="preserve">Tíðni plötuprófsmælinga, m.t.t. fjölda þungra ökutækja, skal  velja samkvæmt töflu hér að neðan. 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3261"/>
        <w:gridCol w:w="2551"/>
      </w:tblGrid>
      <w:tr w:rsidR="0058468D" w:rsidRPr="000017AD" w:rsidTr="00C559D0">
        <w:trPr>
          <w:trHeight w:val="444"/>
        </w:trPr>
        <w:tc>
          <w:tcPr>
            <w:tcW w:w="3261" w:type="dxa"/>
            <w:vAlign w:val="center"/>
          </w:tcPr>
          <w:p w:rsidR="0058468D" w:rsidRPr="000017AD" w:rsidRDefault="0058468D" w:rsidP="004B44EE">
            <w:pPr>
              <w:pStyle w:val="NoSpacing"/>
              <w:rPr>
                <w:noProof/>
              </w:rPr>
            </w:pPr>
            <w:r w:rsidRPr="000017AD">
              <w:rPr>
                <w:b/>
                <w:noProof/>
              </w:rPr>
              <w:t>Fjöldi þungra ökutækja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b/>
                <w:noProof/>
              </w:rPr>
            </w:pPr>
            <w:r w:rsidRPr="000017AD">
              <w:rPr>
                <w:b/>
                <w:noProof/>
              </w:rPr>
              <w:t>Tíðni mælinga</w:t>
            </w:r>
          </w:p>
        </w:tc>
      </w:tr>
      <w:tr w:rsidR="0058468D" w:rsidRPr="000017AD" w:rsidTr="00C559D0">
        <w:tc>
          <w:tcPr>
            <w:tcW w:w="3261" w:type="dxa"/>
            <w:vAlign w:val="bottom"/>
          </w:tcPr>
          <w:p w:rsidR="0058468D" w:rsidRPr="000017AD" w:rsidRDefault="0058468D" w:rsidP="004B44EE">
            <w:pPr>
              <w:pStyle w:val="NoSpacing"/>
              <w:rPr>
                <w:noProof/>
              </w:rPr>
            </w:pPr>
            <w:r w:rsidRPr="000017AD">
              <w:rPr>
                <w:noProof/>
              </w:rPr>
              <w:t>ÁDU</w:t>
            </w:r>
            <w:r w:rsidRPr="000017AD">
              <w:rPr>
                <w:noProof/>
                <w:vertAlign w:val="subscript"/>
              </w:rPr>
              <w:t xml:space="preserve">Þ </w:t>
            </w:r>
            <w:r w:rsidRPr="000017AD">
              <w:rPr>
                <w:noProof/>
              </w:rPr>
              <w:t>≥400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8468D" w:rsidRPr="00A821F8" w:rsidRDefault="0058468D" w:rsidP="004B44EE">
            <w:pPr>
              <w:pStyle w:val="NoSpacing"/>
              <w:rPr>
                <w:i/>
                <w:noProof/>
                <w:color w:val="5B9BD5" w:themeColor="accent1"/>
              </w:rPr>
            </w:pPr>
            <w:r w:rsidRPr="00A821F8">
              <w:rPr>
                <w:i/>
                <w:noProof/>
                <w:color w:val="5B9BD5" w:themeColor="accent1"/>
              </w:rPr>
              <w:t>Á 100 m bili</w:t>
            </w:r>
          </w:p>
        </w:tc>
      </w:tr>
      <w:tr w:rsidR="0058468D" w:rsidRPr="000017AD" w:rsidTr="00C559D0">
        <w:tc>
          <w:tcPr>
            <w:tcW w:w="3261" w:type="dxa"/>
            <w:vAlign w:val="bottom"/>
          </w:tcPr>
          <w:p w:rsidR="0058468D" w:rsidRPr="000017AD" w:rsidRDefault="0058468D" w:rsidP="004B44EE">
            <w:pPr>
              <w:pStyle w:val="NoSpacing"/>
              <w:rPr>
                <w:noProof/>
              </w:rPr>
            </w:pPr>
            <w:r w:rsidRPr="000017AD">
              <w:rPr>
                <w:noProof/>
              </w:rPr>
              <w:t>ÁDU</w:t>
            </w:r>
            <w:r w:rsidRPr="000017AD">
              <w:rPr>
                <w:noProof/>
                <w:vertAlign w:val="subscript"/>
              </w:rPr>
              <w:t xml:space="preserve">Þ </w:t>
            </w:r>
            <w:r w:rsidRPr="000017AD">
              <w:rPr>
                <w:noProof/>
              </w:rPr>
              <w:t>≥100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8468D" w:rsidRPr="00A821F8" w:rsidRDefault="0058468D" w:rsidP="004B44EE">
            <w:pPr>
              <w:pStyle w:val="NoSpacing"/>
              <w:rPr>
                <w:i/>
                <w:noProof/>
                <w:color w:val="5B9BD5" w:themeColor="accent1"/>
              </w:rPr>
            </w:pPr>
            <w:r w:rsidRPr="00A821F8">
              <w:rPr>
                <w:i/>
                <w:noProof/>
                <w:color w:val="5B9BD5" w:themeColor="accent1"/>
              </w:rPr>
              <w:t>Á 300 m bili</w:t>
            </w:r>
          </w:p>
        </w:tc>
      </w:tr>
      <w:tr w:rsidR="0058468D" w:rsidRPr="000017AD" w:rsidTr="00C559D0">
        <w:tc>
          <w:tcPr>
            <w:tcW w:w="3261" w:type="dxa"/>
            <w:vAlign w:val="bottom"/>
          </w:tcPr>
          <w:p w:rsidR="0058468D" w:rsidRPr="000017AD" w:rsidRDefault="0058468D" w:rsidP="004B44EE">
            <w:pPr>
              <w:pStyle w:val="NoSpacing"/>
              <w:rPr>
                <w:noProof/>
              </w:rPr>
            </w:pPr>
            <w:r w:rsidRPr="000017AD">
              <w:rPr>
                <w:noProof/>
              </w:rPr>
              <w:t>ÁDU</w:t>
            </w:r>
            <w:r w:rsidRPr="000017AD">
              <w:rPr>
                <w:noProof/>
                <w:vertAlign w:val="subscript"/>
              </w:rPr>
              <w:t xml:space="preserve">Þ </w:t>
            </w:r>
            <w:r w:rsidRPr="000017AD">
              <w:rPr>
                <w:noProof/>
              </w:rPr>
              <w:t>&lt;100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8468D" w:rsidRPr="00A821F8" w:rsidRDefault="0058468D" w:rsidP="004B44EE">
            <w:pPr>
              <w:pStyle w:val="NoSpacing"/>
              <w:rPr>
                <w:i/>
                <w:noProof/>
                <w:color w:val="5B9BD5" w:themeColor="accent1"/>
              </w:rPr>
            </w:pPr>
            <w:r w:rsidRPr="00A821F8">
              <w:rPr>
                <w:i/>
                <w:noProof/>
                <w:color w:val="5B9BD5" w:themeColor="accent1"/>
              </w:rPr>
              <w:t>Á 500 m bili</w:t>
            </w:r>
          </w:p>
        </w:tc>
      </w:tr>
    </w:tbl>
    <w:p w:rsidR="0058468D" w:rsidRPr="000017AD" w:rsidRDefault="0058468D" w:rsidP="0058468D">
      <w:pPr>
        <w:pStyle w:val="Li-fyrirsagnir"/>
        <w:tabs>
          <w:tab w:val="clear" w:pos="1008"/>
        </w:tabs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e)</w:t>
      </w:r>
      <w:r w:rsidRPr="000017AD">
        <w:rPr>
          <w:sz w:val="24"/>
          <w:szCs w:val="24"/>
        </w:rPr>
        <w:tab/>
        <w:t xml:space="preserve"> </w:t>
      </w:r>
    </w:p>
    <w:p w:rsidR="008260BE" w:rsidRPr="008260BE" w:rsidRDefault="008260BE" w:rsidP="004B44EE">
      <w:pPr>
        <w:pStyle w:val="NoSpacing"/>
        <w:rPr>
          <w:noProof/>
        </w:rPr>
      </w:pPr>
      <w:r w:rsidRPr="008260BE">
        <w:rPr>
          <w:b/>
          <w:noProof/>
          <w:u w:val="single"/>
        </w:rPr>
        <w:t>Leyfð frávik í hæð og lagþykkt</w:t>
      </w:r>
      <w:r w:rsidRPr="008260BE">
        <w:rPr>
          <w:noProof/>
        </w:rPr>
        <w:t xml:space="preserve">. Velja skal gildi fyrir frávik í hæð og lagþykkt m.t.t. umferðarflokks skv. meðfylgjandi töflu, sbr. töflu </w:t>
      </w:r>
      <w:r>
        <w:rPr>
          <w:noProof/>
        </w:rPr>
        <w:t>3</w:t>
      </w:r>
      <w:r w:rsidRPr="008260BE">
        <w:rPr>
          <w:noProof/>
        </w:rPr>
        <w:t>-</w:t>
      </w:r>
      <w:r w:rsidR="00F129A2">
        <w:rPr>
          <w:noProof/>
        </w:rPr>
        <w:t>7</w:t>
      </w:r>
      <w:r w:rsidRPr="008260BE">
        <w:rPr>
          <w:noProof/>
        </w:rPr>
        <w:t xml:space="preserve"> í efnisgæðariti Vg.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276"/>
        <w:gridCol w:w="1559"/>
        <w:gridCol w:w="1242"/>
      </w:tblGrid>
      <w:tr w:rsidR="0058468D" w:rsidRPr="000017AD" w:rsidTr="00C559D0">
        <w:trPr>
          <w:trHeight w:val="405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rFonts w:cs="Times New Roman"/>
                <w:b/>
                <w:noProof/>
                <w:sz w:val="20"/>
                <w:szCs w:val="20"/>
              </w:rPr>
            </w:pPr>
            <w:r w:rsidRPr="000017AD">
              <w:rPr>
                <w:rFonts w:cs="Times New Roman"/>
                <w:b/>
                <w:noProof/>
                <w:sz w:val="20"/>
                <w:szCs w:val="20"/>
              </w:rPr>
              <w:t>Fjöldi þungra ökutækja, ÁDUþ</w:t>
            </w:r>
          </w:p>
        </w:tc>
      </w:tr>
      <w:tr w:rsidR="0058468D" w:rsidRPr="000017AD" w:rsidTr="00C559D0">
        <w:trPr>
          <w:trHeight w:val="405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0017AD">
              <w:rPr>
                <w:rFonts w:cs="Times New Roman"/>
                <w:b/>
                <w:noProof/>
                <w:sz w:val="20"/>
                <w:szCs w:val="20"/>
              </w:rPr>
              <w:t>≥100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rFonts w:cs="Times New Roman"/>
                <w:b/>
                <w:noProof/>
                <w:sz w:val="20"/>
                <w:szCs w:val="20"/>
              </w:rPr>
            </w:pPr>
            <w:r w:rsidRPr="000017AD">
              <w:rPr>
                <w:rFonts w:cs="Times New Roman"/>
                <w:b/>
                <w:noProof/>
                <w:sz w:val="20"/>
                <w:szCs w:val="20"/>
              </w:rPr>
              <w:t>&lt;100</w:t>
            </w:r>
          </w:p>
        </w:tc>
      </w:tr>
      <w:tr w:rsidR="0058468D" w:rsidRPr="000017AD" w:rsidTr="00C559D0">
        <w:trPr>
          <w:trHeight w:val="397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sz w:val="20"/>
                <w:szCs w:val="20"/>
              </w:rPr>
            </w:pPr>
            <w:r w:rsidRPr="000017AD">
              <w:rPr>
                <w:rFonts w:cs="Times New Roman"/>
                <w:sz w:val="20"/>
                <w:szCs w:val="20"/>
              </w:rPr>
              <w:t>Stök mæling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sz w:val="20"/>
                <w:szCs w:val="20"/>
              </w:rPr>
            </w:pPr>
            <w:r w:rsidRPr="000017AD">
              <w:rPr>
                <w:rFonts w:cs="Times New Roman"/>
                <w:sz w:val="20"/>
                <w:szCs w:val="20"/>
              </w:rPr>
              <w:t>Meðaltal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sz w:val="20"/>
                <w:szCs w:val="20"/>
              </w:rPr>
            </w:pPr>
            <w:r w:rsidRPr="000017AD">
              <w:rPr>
                <w:rFonts w:cs="Times New Roman"/>
                <w:sz w:val="20"/>
                <w:szCs w:val="20"/>
              </w:rPr>
              <w:t>Stök mæling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iCs/>
                <w:sz w:val="20"/>
                <w:szCs w:val="20"/>
              </w:rPr>
            </w:pPr>
            <w:r w:rsidRPr="000017AD">
              <w:rPr>
                <w:rFonts w:cs="Times New Roman"/>
                <w:iCs/>
                <w:sz w:val="20"/>
                <w:szCs w:val="20"/>
              </w:rPr>
              <w:t>Meðaltal</w:t>
            </w:r>
          </w:p>
        </w:tc>
      </w:tr>
      <w:tr w:rsidR="0058468D" w:rsidRPr="000017AD" w:rsidTr="00C559D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sz w:val="20"/>
                <w:szCs w:val="20"/>
              </w:rPr>
            </w:pPr>
            <w:r w:rsidRPr="000017AD">
              <w:rPr>
                <w:rFonts w:cs="Times New Roman"/>
                <w:sz w:val="20"/>
                <w:szCs w:val="20"/>
              </w:rPr>
              <w:t>Hámarksfrávik frá hönnuðu yfirborði  (mm)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color w:val="5B9BD5" w:themeColor="accent1"/>
                <w:sz w:val="20"/>
                <w:szCs w:val="20"/>
              </w:rPr>
              <w:t>+40 /  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color w:val="5B9BD5" w:themeColor="accent1"/>
                <w:sz w:val="20"/>
                <w:szCs w:val="20"/>
              </w:rPr>
              <w:t>+20/-30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color w:val="5B9BD5" w:themeColor="accent1"/>
                <w:sz w:val="20"/>
                <w:szCs w:val="20"/>
              </w:rPr>
              <w:t>+60/-60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  <w:t>+30/-50</w:t>
            </w:r>
          </w:p>
        </w:tc>
      </w:tr>
      <w:tr w:rsidR="0058468D" w:rsidRPr="000017AD" w:rsidTr="00C559D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8468D" w:rsidRPr="000017AD" w:rsidRDefault="0058468D" w:rsidP="004B44EE">
            <w:pPr>
              <w:pStyle w:val="NoSpacing"/>
              <w:ind w:left="0"/>
              <w:rPr>
                <w:rFonts w:cs="Times New Roman"/>
                <w:sz w:val="20"/>
                <w:szCs w:val="20"/>
              </w:rPr>
            </w:pPr>
            <w:r w:rsidRPr="000017AD">
              <w:rPr>
                <w:rFonts w:cs="Times New Roman"/>
                <w:sz w:val="20"/>
                <w:szCs w:val="20"/>
              </w:rPr>
              <w:t>Leyfð frávik frá hönnuðu yfirborði sprengds bergs (mm)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  <w:t>+100/-100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  <w:t>30/-30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  <w:t>+100/-100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468D" w:rsidRPr="00A821F8" w:rsidRDefault="0058468D" w:rsidP="004B44EE">
            <w:pPr>
              <w:pStyle w:val="NoSpacing"/>
              <w:ind w:left="0"/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A821F8">
              <w:rPr>
                <w:rFonts w:cs="Times New Roman"/>
                <w:i/>
                <w:iCs/>
                <w:color w:val="5B9BD5" w:themeColor="accent1"/>
                <w:sz w:val="20"/>
                <w:szCs w:val="20"/>
              </w:rPr>
              <w:t>30/-50</w:t>
            </w:r>
          </w:p>
        </w:tc>
      </w:tr>
    </w:tbl>
    <w:p w:rsidR="0058468D" w:rsidRPr="000017AD" w:rsidRDefault="0058468D" w:rsidP="0058468D">
      <w:pPr>
        <w:ind w:left="851"/>
        <w:rPr>
          <w:rFonts w:ascii="Times New Roman" w:hAnsi="Times New Roman" w:cs="Times New Roman"/>
        </w:rPr>
      </w:pPr>
    </w:p>
    <w:sectPr w:rsidR="0058468D" w:rsidRPr="00001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EE" w:rsidRDefault="004B44EE" w:rsidP="004B44EE">
      <w:pPr>
        <w:spacing w:after="0" w:line="240" w:lineRule="auto"/>
      </w:pPr>
      <w:r>
        <w:separator/>
      </w:r>
    </w:p>
  </w:endnote>
  <w:endnote w:type="continuationSeparator" w:id="0">
    <w:p w:rsidR="004B44EE" w:rsidRDefault="004B44EE" w:rsidP="004B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7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4EE" w:rsidRDefault="004B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4EE" w:rsidRDefault="004B4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EE" w:rsidRDefault="004B44EE" w:rsidP="004B44EE">
      <w:pPr>
        <w:spacing w:after="0" w:line="240" w:lineRule="auto"/>
      </w:pPr>
      <w:r>
        <w:separator/>
      </w:r>
    </w:p>
  </w:footnote>
  <w:footnote w:type="continuationSeparator" w:id="0">
    <w:p w:rsidR="004B44EE" w:rsidRDefault="004B44EE" w:rsidP="004B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EE" w:rsidRDefault="004B44EE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D"/>
    <w:rsid w:val="000606A8"/>
    <w:rsid w:val="004B44EE"/>
    <w:rsid w:val="00584252"/>
    <w:rsid w:val="0058468D"/>
    <w:rsid w:val="008260BE"/>
    <w:rsid w:val="00A821F8"/>
    <w:rsid w:val="00D27923"/>
    <w:rsid w:val="00F129A2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EE0C-0FF5-4026-9021-901DB7A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8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6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6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qFormat/>
    <w:rsid w:val="0058468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58468D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rsid w:val="0058468D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68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bcflokkarsk">
    <w:name w:val="abc flokkar ská"/>
    <w:basedOn w:val="Normal"/>
    <w:rsid w:val="000606A8"/>
    <w:pPr>
      <w:spacing w:before="85" w:after="85" w:line="240" w:lineRule="auto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paragraph" w:styleId="NoSpacing">
    <w:name w:val="No Spacing"/>
    <w:uiPriority w:val="1"/>
    <w:qFormat/>
    <w:rsid w:val="004B44EE"/>
    <w:pPr>
      <w:spacing w:before="120" w:after="120" w:line="240" w:lineRule="auto"/>
      <w:ind w:left="851"/>
    </w:pPr>
    <w:rPr>
      <w:rFonts w:ascii="Times New Roman" w:hAnsi="Times New Roman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B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EE"/>
  </w:style>
  <w:style w:type="paragraph" w:styleId="Footer">
    <w:name w:val="footer"/>
    <w:basedOn w:val="Normal"/>
    <w:link w:val="FooterChar"/>
    <w:uiPriority w:val="99"/>
    <w:unhideWhenUsed/>
    <w:rsid w:val="004B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1D67-5B86-4F45-BE54-1EDFAE0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2016-05-31T09:42:00Z</dcterms:created>
  <dcterms:modified xsi:type="dcterms:W3CDTF">2017-09-08T02:51:00Z</dcterms:modified>
</cp:coreProperties>
</file>